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2ED" w:rsidRDefault="005642ED" w:rsidP="00752286">
      <w:pPr>
        <w:pStyle w:val="ConsPlusTitle"/>
        <w:contextualSpacing/>
        <w:rPr>
          <w:rFonts w:ascii="Times New Roman" w:hAnsi="Times New Roman" w:cs="Times New Roman"/>
          <w:b w:val="0"/>
          <w:sz w:val="28"/>
          <w:szCs w:val="28"/>
        </w:rPr>
      </w:pPr>
    </w:p>
    <w:p w:rsidR="005642ED" w:rsidRPr="00FA41A1" w:rsidRDefault="00F44EB2" w:rsidP="00050A5D">
      <w:pPr>
        <w:pStyle w:val="ConsPlusTitle"/>
        <w:ind w:left="6379"/>
        <w:contextualSpacing/>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УТВЕРЖДЕНА</w:t>
      </w:r>
      <w:r w:rsidR="005642ED" w:rsidRPr="00FA41A1">
        <w:rPr>
          <w:rFonts w:ascii="Times New Roman" w:hAnsi="Times New Roman" w:cs="Times New Roman"/>
          <w:b w:val="0"/>
          <w:color w:val="000000" w:themeColor="text1"/>
          <w:sz w:val="28"/>
          <w:szCs w:val="28"/>
        </w:rPr>
        <w:t xml:space="preserve"> </w:t>
      </w:r>
    </w:p>
    <w:p w:rsidR="00050A5D" w:rsidRDefault="005642ED" w:rsidP="00050A5D">
      <w:pPr>
        <w:pStyle w:val="ConsPlusTitle"/>
        <w:ind w:left="6379"/>
        <w:contextualSpacing/>
        <w:rPr>
          <w:rFonts w:ascii="Times New Roman" w:hAnsi="Times New Roman" w:cs="Times New Roman"/>
          <w:b w:val="0"/>
          <w:color w:val="000000" w:themeColor="text1"/>
          <w:sz w:val="28"/>
          <w:szCs w:val="28"/>
        </w:rPr>
      </w:pPr>
      <w:r w:rsidRPr="00FA41A1">
        <w:rPr>
          <w:rFonts w:ascii="Times New Roman" w:hAnsi="Times New Roman" w:cs="Times New Roman"/>
          <w:b w:val="0"/>
          <w:color w:val="000000" w:themeColor="text1"/>
          <w:sz w:val="28"/>
          <w:szCs w:val="28"/>
        </w:rPr>
        <w:t xml:space="preserve">Постановление </w:t>
      </w:r>
    </w:p>
    <w:p w:rsidR="005642ED" w:rsidRPr="00FA41A1" w:rsidRDefault="005642ED" w:rsidP="00050A5D">
      <w:pPr>
        <w:pStyle w:val="ConsPlusTitle"/>
        <w:ind w:left="6379"/>
        <w:contextualSpacing/>
        <w:rPr>
          <w:rFonts w:ascii="Times New Roman" w:hAnsi="Times New Roman" w:cs="Times New Roman"/>
          <w:b w:val="0"/>
          <w:color w:val="000000" w:themeColor="text1"/>
          <w:sz w:val="28"/>
          <w:szCs w:val="28"/>
        </w:rPr>
      </w:pPr>
      <w:r w:rsidRPr="00FA41A1">
        <w:rPr>
          <w:rFonts w:ascii="Times New Roman" w:hAnsi="Times New Roman" w:cs="Times New Roman"/>
          <w:b w:val="0"/>
          <w:color w:val="000000" w:themeColor="text1"/>
          <w:sz w:val="28"/>
          <w:szCs w:val="28"/>
        </w:rPr>
        <w:t xml:space="preserve">Правительства </w:t>
      </w:r>
    </w:p>
    <w:p w:rsidR="005642ED" w:rsidRPr="00FA41A1" w:rsidRDefault="005642ED" w:rsidP="00050A5D">
      <w:pPr>
        <w:pStyle w:val="ConsPlusTitle"/>
        <w:ind w:left="6379"/>
        <w:contextualSpacing/>
        <w:rPr>
          <w:rFonts w:ascii="Times New Roman" w:hAnsi="Times New Roman" w:cs="Times New Roman"/>
          <w:b w:val="0"/>
          <w:color w:val="000000" w:themeColor="text1"/>
          <w:sz w:val="28"/>
          <w:szCs w:val="28"/>
        </w:rPr>
      </w:pPr>
      <w:r w:rsidRPr="00FA41A1">
        <w:rPr>
          <w:rFonts w:ascii="Times New Roman" w:hAnsi="Times New Roman" w:cs="Times New Roman"/>
          <w:b w:val="0"/>
          <w:color w:val="000000" w:themeColor="text1"/>
          <w:sz w:val="28"/>
          <w:szCs w:val="28"/>
        </w:rPr>
        <w:t xml:space="preserve">Ярославской области </w:t>
      </w:r>
    </w:p>
    <w:p w:rsidR="005642ED" w:rsidRPr="00FA41A1" w:rsidRDefault="005642ED" w:rsidP="00050A5D">
      <w:pPr>
        <w:pStyle w:val="ConsPlusTitle"/>
        <w:ind w:left="6379"/>
        <w:contextualSpacing/>
        <w:rPr>
          <w:rFonts w:ascii="Times New Roman" w:hAnsi="Times New Roman" w:cs="Times New Roman"/>
          <w:b w:val="0"/>
          <w:color w:val="000000" w:themeColor="text1"/>
          <w:sz w:val="28"/>
          <w:szCs w:val="28"/>
        </w:rPr>
      </w:pPr>
      <w:r w:rsidRPr="00FA41A1">
        <w:rPr>
          <w:rFonts w:ascii="Times New Roman" w:hAnsi="Times New Roman" w:cs="Times New Roman"/>
          <w:b w:val="0"/>
          <w:color w:val="000000" w:themeColor="text1"/>
          <w:sz w:val="28"/>
          <w:szCs w:val="28"/>
        </w:rPr>
        <w:t xml:space="preserve">от 19.03.2024 </w:t>
      </w:r>
      <w:r w:rsidR="00752286">
        <w:rPr>
          <w:rFonts w:ascii="Times New Roman" w:hAnsi="Times New Roman" w:cs="Times New Roman"/>
          <w:b w:val="0"/>
          <w:color w:val="000000" w:themeColor="text1"/>
          <w:sz w:val="28"/>
          <w:szCs w:val="28"/>
        </w:rPr>
        <w:t>№</w:t>
      </w:r>
      <w:r w:rsidRPr="00FA41A1">
        <w:rPr>
          <w:rFonts w:ascii="Times New Roman" w:hAnsi="Times New Roman" w:cs="Times New Roman"/>
          <w:b w:val="0"/>
          <w:color w:val="000000" w:themeColor="text1"/>
          <w:sz w:val="28"/>
          <w:szCs w:val="28"/>
        </w:rPr>
        <w:t xml:space="preserve"> 311-п</w:t>
      </w:r>
    </w:p>
    <w:p w:rsidR="005642ED" w:rsidRPr="00FA41A1" w:rsidRDefault="005642ED" w:rsidP="00752286">
      <w:pPr>
        <w:pStyle w:val="ConsPlusTitle"/>
        <w:contextualSpacing/>
        <w:jc w:val="right"/>
        <w:rPr>
          <w:rFonts w:ascii="Times New Roman" w:hAnsi="Times New Roman" w:cs="Times New Roman"/>
          <w:color w:val="000000" w:themeColor="text1"/>
          <w:sz w:val="28"/>
          <w:szCs w:val="28"/>
        </w:rPr>
      </w:pPr>
    </w:p>
    <w:p w:rsidR="005642ED" w:rsidRPr="00FA41A1" w:rsidRDefault="005642ED" w:rsidP="00752286">
      <w:pPr>
        <w:pStyle w:val="ConsPlusTitle"/>
        <w:contextualSpacing/>
        <w:jc w:val="center"/>
        <w:rPr>
          <w:rFonts w:ascii="Times New Roman" w:hAnsi="Times New Roman" w:cs="Times New Roman"/>
          <w:color w:val="000000" w:themeColor="text1"/>
          <w:sz w:val="28"/>
          <w:szCs w:val="28"/>
        </w:rPr>
      </w:pPr>
    </w:p>
    <w:p w:rsidR="005642ED" w:rsidRPr="00FA41A1" w:rsidRDefault="00B05CCC" w:rsidP="00752286">
      <w:pPr>
        <w:pStyle w:val="ConsPlusTitle"/>
        <w:contextualSpacing/>
        <w:jc w:val="center"/>
        <w:rPr>
          <w:rFonts w:ascii="Times New Roman" w:hAnsi="Times New Roman" w:cs="Times New Roman"/>
          <w:color w:val="000000" w:themeColor="text1"/>
          <w:sz w:val="28"/>
          <w:szCs w:val="28"/>
        </w:rPr>
      </w:pPr>
      <w:r w:rsidRPr="00FA41A1">
        <w:rPr>
          <w:rFonts w:ascii="Times New Roman" w:hAnsi="Times New Roman" w:cs="Times New Roman"/>
          <w:color w:val="000000" w:themeColor="text1"/>
          <w:sz w:val="28"/>
          <w:szCs w:val="28"/>
        </w:rPr>
        <w:t>МЕТОДИКА</w:t>
      </w:r>
    </w:p>
    <w:p w:rsidR="005642ED" w:rsidRPr="00FA41A1" w:rsidRDefault="00B05CCC" w:rsidP="00B05CCC">
      <w:pPr>
        <w:pStyle w:val="ConsPlusTitle"/>
        <w:contextualSpacing/>
        <w:jc w:val="center"/>
        <w:rPr>
          <w:rFonts w:ascii="Times New Roman" w:hAnsi="Times New Roman" w:cs="Times New Roman"/>
          <w:color w:val="000000" w:themeColor="text1"/>
          <w:sz w:val="28"/>
          <w:szCs w:val="28"/>
        </w:rPr>
      </w:pPr>
      <w:r w:rsidRPr="00FA41A1">
        <w:rPr>
          <w:rFonts w:ascii="Times New Roman" w:hAnsi="Times New Roman" w:cs="Times New Roman"/>
          <w:color w:val="000000" w:themeColor="text1"/>
          <w:sz w:val="28"/>
          <w:szCs w:val="28"/>
        </w:rPr>
        <w:t>РАСПРЕДЕЛЕНИЯ И ПРАВИЛА ПРЕДОСТАВЛЕНИЯ ИНЫХ МЕЖБЮДЖЕТНЫХ</w:t>
      </w:r>
      <w:r>
        <w:rPr>
          <w:rFonts w:ascii="Times New Roman" w:hAnsi="Times New Roman" w:cs="Times New Roman"/>
          <w:color w:val="000000" w:themeColor="text1"/>
          <w:sz w:val="28"/>
          <w:szCs w:val="28"/>
        </w:rPr>
        <w:t xml:space="preserve"> </w:t>
      </w:r>
      <w:r w:rsidRPr="00FA41A1">
        <w:rPr>
          <w:rFonts w:ascii="Times New Roman" w:hAnsi="Times New Roman" w:cs="Times New Roman"/>
          <w:color w:val="000000" w:themeColor="text1"/>
          <w:sz w:val="28"/>
          <w:szCs w:val="28"/>
        </w:rPr>
        <w:t>ТРАНСФЕРТОВ НА БЛАГОУСТРОЙСТВО ОБЩЕСТВЕННЫХ ТЕРРИТОРИЙ</w:t>
      </w:r>
      <w:r>
        <w:rPr>
          <w:rFonts w:ascii="Times New Roman" w:hAnsi="Times New Roman" w:cs="Times New Roman"/>
          <w:color w:val="000000" w:themeColor="text1"/>
          <w:sz w:val="28"/>
          <w:szCs w:val="28"/>
        </w:rPr>
        <w:t xml:space="preserve"> </w:t>
      </w:r>
      <w:bookmarkStart w:id="0" w:name="_GoBack"/>
      <w:bookmarkEnd w:id="0"/>
      <w:r w:rsidRPr="00FA41A1">
        <w:rPr>
          <w:rFonts w:ascii="Times New Roman" w:hAnsi="Times New Roman" w:cs="Times New Roman"/>
          <w:color w:val="000000" w:themeColor="text1"/>
          <w:sz w:val="28"/>
          <w:szCs w:val="28"/>
        </w:rPr>
        <w:t>В МУНИЦИПАЛЬНЫХ ОБРАЗОВАНИЯХ ЯРОСЛАВСКОЙ ОБЛАСТИ, ПРИНЯВШИХ</w:t>
      </w:r>
    </w:p>
    <w:p w:rsidR="005642ED" w:rsidRPr="00FA41A1" w:rsidRDefault="00B05CCC" w:rsidP="00752286">
      <w:pPr>
        <w:pStyle w:val="ConsPlusTitle"/>
        <w:contextualSpacing/>
        <w:jc w:val="center"/>
        <w:rPr>
          <w:rFonts w:ascii="Times New Roman" w:hAnsi="Times New Roman" w:cs="Times New Roman"/>
          <w:color w:val="000000" w:themeColor="text1"/>
          <w:sz w:val="28"/>
          <w:szCs w:val="28"/>
        </w:rPr>
      </w:pPr>
      <w:r w:rsidRPr="00FA41A1">
        <w:rPr>
          <w:rFonts w:ascii="Times New Roman" w:hAnsi="Times New Roman" w:cs="Times New Roman"/>
          <w:color w:val="000000" w:themeColor="text1"/>
          <w:sz w:val="28"/>
          <w:szCs w:val="28"/>
        </w:rPr>
        <w:t>АКТИВНОЕ УЧАСТИЕ ВО ВСЕРОССИЙСКОМ ГОЛОСОВАНИИ</w:t>
      </w:r>
    </w:p>
    <w:p w:rsidR="005642ED" w:rsidRPr="00FA41A1" w:rsidRDefault="00B05CCC" w:rsidP="00752286">
      <w:pPr>
        <w:pStyle w:val="ConsPlusTitle"/>
        <w:contextualSpacing/>
        <w:jc w:val="center"/>
        <w:rPr>
          <w:rFonts w:ascii="Times New Roman" w:hAnsi="Times New Roman" w:cs="Times New Roman"/>
          <w:color w:val="000000" w:themeColor="text1"/>
          <w:sz w:val="28"/>
          <w:szCs w:val="28"/>
        </w:rPr>
      </w:pPr>
      <w:r w:rsidRPr="00FA41A1">
        <w:rPr>
          <w:rFonts w:ascii="Times New Roman" w:hAnsi="Times New Roman" w:cs="Times New Roman"/>
          <w:color w:val="000000" w:themeColor="text1"/>
          <w:sz w:val="28"/>
          <w:szCs w:val="28"/>
        </w:rPr>
        <w:t>ПО ОТБОРУ ОБЩЕСТВЕННЫХ ТЕРРИТОРИЙ</w:t>
      </w:r>
    </w:p>
    <w:p w:rsidR="005642ED" w:rsidRPr="00FA41A1" w:rsidRDefault="005642ED" w:rsidP="00752286">
      <w:pPr>
        <w:pStyle w:val="ConsPlusNormal"/>
        <w:contextualSpacing/>
        <w:jc w:val="both"/>
        <w:outlineLvl w:val="0"/>
        <w:rPr>
          <w:color w:val="000000" w:themeColor="text1"/>
          <w:sz w:val="28"/>
          <w:szCs w:val="28"/>
        </w:rPr>
      </w:pPr>
    </w:p>
    <w:p w:rsidR="005642ED" w:rsidRPr="00FA41A1" w:rsidRDefault="005642ED" w:rsidP="00752286">
      <w:pPr>
        <w:pStyle w:val="ConsPlusNormal"/>
        <w:ind w:firstLine="540"/>
        <w:contextualSpacing/>
        <w:jc w:val="both"/>
        <w:rPr>
          <w:color w:val="000000" w:themeColor="text1"/>
          <w:sz w:val="28"/>
          <w:szCs w:val="28"/>
        </w:rPr>
      </w:pPr>
      <w:r w:rsidRPr="00FA41A1">
        <w:rPr>
          <w:color w:val="000000" w:themeColor="text1"/>
          <w:sz w:val="28"/>
          <w:szCs w:val="28"/>
        </w:rPr>
        <w:t>1. Предоставление иных межбюджетных трансфертов на благоустройство общественных территорий в муниципальных образованиях Ярославской области, принявших активное участие во Всероссийском голосовании по отбору общественных территорий (далее - иные межбюджетные трансферты), осуществляется в рамках регионального проекта "Формирование комфортной городской среды"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утвержденной постановлением Правительства Ярославской области от 19.03.2024 N 311-п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и о признании утратившими силу и частично утратившими силу отдельных постановлений Правительства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2. Иные межбюджетные трансферты предоставляются в целях обеспечения реализации мероприятий по благоустройству общественных территорий муниципальных образований Ярославской области (далее - муниципальные образования), принявших активное участие во Всероссийском голосовании по отбору общественных территорий (далее - Всероссийское голосование).</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Получателями иных межбюджетных трансфертов являются муниципальные образования - муниципальные и городские округа.</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3. Иные межбюджетные трансферты предусмотрены на финансирование расходных обязательств муниципальных образований, возникающих при реализации мероприятий по благоустройству общественных территорий.</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Иные межбюджетные трансферты расходуются: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на разработку проектно-сметной документации;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на работы по благоустройству общественных территорий.</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Расходование иных межбюджетных трансфертов осуществляется муниципальным образованием в том числе:</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путем закупки товаров, работ и услуг для обеспечения муниципальных </w:t>
      </w:r>
      <w:r w:rsidRPr="00FA41A1">
        <w:rPr>
          <w:color w:val="000000" w:themeColor="text1"/>
          <w:sz w:val="28"/>
          <w:szCs w:val="28"/>
        </w:rPr>
        <w:lastRenderedPageBreak/>
        <w:t>нужд;</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путем предоставления субсидий бюджетным и автономным учреждениям, в том числе на финансовое обеспечение выполнения ими муниципального задания.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4. Условия предоставления и расходования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наличие соглашения о предоставлении иных межбюджетных трансфертов (далее - соглашение), заключенного между министерством строительства и жилищно-коммунального хозяйства Ярославской области (далее -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являющимся главным распорядителем бюджетных средств, и администрациями муниципальных образований - получателей иных межбюджетных трансфертов (далее - получатели);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наличие муниципальных программ формирования комфортной городской среды;</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соблюдение целевого назначения расходования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выполнение требований к результатам предоставления иных межбюджетных трансфертов, установленных </w:t>
      </w:r>
      <w:hyperlink w:anchor="P73" w:tooltip="10. Результатом предоставления иных межбюджетных трансфертов является количество благоустроенных общественных территорий муниципальных образований, принявших активное участие во Всероссийском голосовании.">
        <w:r w:rsidRPr="00FA41A1">
          <w:rPr>
            <w:color w:val="000000" w:themeColor="text1"/>
            <w:sz w:val="28"/>
            <w:szCs w:val="28"/>
          </w:rPr>
          <w:t>пунктом 10</w:t>
        </w:r>
      </w:hyperlink>
      <w:r w:rsidRPr="00FA41A1">
        <w:rPr>
          <w:color w:val="000000" w:themeColor="text1"/>
          <w:sz w:val="28"/>
          <w:szCs w:val="28"/>
        </w:rPr>
        <w:t xml:space="preserve"> Методики распределения и правил предоставления иных межбюджетных трансфертов на благоустройство общественных территорий в муниципальных образованиях Ярославской области, принявших активное участие во Всероссийском голосовании по отбору общественных территорий (далее - Методика и правила), требований к срокам, порядку и формам представления отчетности об использовании иных межбюджетных трансфертов, установленных </w:t>
      </w:r>
      <w:hyperlink w:anchor="P87" w:tooltip="13. Муниципальные образования представляют в МСиЖКХ ЯО отчеты по формам, установленным соглашением:">
        <w:r w:rsidRPr="00FA41A1">
          <w:rPr>
            <w:color w:val="000000" w:themeColor="text1"/>
            <w:sz w:val="28"/>
            <w:szCs w:val="28"/>
          </w:rPr>
          <w:t>пунктом 13</w:t>
        </w:r>
      </w:hyperlink>
      <w:r w:rsidRPr="00FA41A1">
        <w:rPr>
          <w:color w:val="000000" w:themeColor="text1"/>
          <w:sz w:val="28"/>
          <w:szCs w:val="28"/>
        </w:rPr>
        <w:t xml:space="preserve"> Методики и правил;</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результата предоставления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5. Размеры денежных поощрений, предоставляемых за счет областного бюджета, определены протоколом межведомственной комиссии по реализации губернаторского проекта "Решаем вместе!" и составляют:</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- 20208337 руб. - за 1-е место;</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- 20000000 руб. - за 2-е место;</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- 20000000 руб. - за 3-е место;</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- 10000000 руб. - за 4-е место;</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- 5000000 руб. - за 5-е место.</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6. Распределение иных межбюджетных трансфертов между муниципальными образованиями в 2025 году осуществляется следующим образом: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6.1. Распределение пяти мест между i-ми городскими округами/муниципальными округами Ярославской области с наибольшей долей граждан, принявших участие во Всероссийском голосовании. Доля </w:t>
      </w:r>
      <w:r w:rsidRPr="00FA41A1">
        <w:rPr>
          <w:color w:val="000000" w:themeColor="text1"/>
          <w:sz w:val="28"/>
          <w:szCs w:val="28"/>
        </w:rPr>
        <w:lastRenderedPageBreak/>
        <w:t>граждан, принявших участие во Всероссийском голосовании (</w:t>
      </w:r>
      <w:proofErr w:type="spellStart"/>
      <w:r w:rsidRPr="00FA41A1">
        <w:rPr>
          <w:color w:val="000000" w:themeColor="text1"/>
          <w:sz w:val="28"/>
          <w:szCs w:val="28"/>
        </w:rPr>
        <w:t>Дi</w:t>
      </w:r>
      <w:proofErr w:type="spellEnd"/>
      <w:r w:rsidRPr="00FA41A1">
        <w:rPr>
          <w:color w:val="000000" w:themeColor="text1"/>
          <w:sz w:val="28"/>
          <w:szCs w:val="28"/>
        </w:rPr>
        <w:t>), определяется по формуле:</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center"/>
        <w:rPr>
          <w:color w:val="000000" w:themeColor="text1"/>
          <w:sz w:val="28"/>
          <w:szCs w:val="28"/>
        </w:rPr>
      </w:pPr>
      <w:proofErr w:type="spellStart"/>
      <w:r w:rsidRPr="00FA41A1">
        <w:rPr>
          <w:color w:val="000000" w:themeColor="text1"/>
          <w:sz w:val="28"/>
          <w:szCs w:val="28"/>
        </w:rPr>
        <w:t>Дi</w:t>
      </w:r>
      <w:proofErr w:type="spellEnd"/>
      <w:r w:rsidRPr="00FA41A1">
        <w:rPr>
          <w:color w:val="000000" w:themeColor="text1"/>
          <w:sz w:val="28"/>
          <w:szCs w:val="28"/>
        </w:rPr>
        <w:t xml:space="preserve"> = </w:t>
      </w:r>
      <w:proofErr w:type="spellStart"/>
      <w:r w:rsidRPr="00FA41A1">
        <w:rPr>
          <w:color w:val="000000" w:themeColor="text1"/>
          <w:sz w:val="28"/>
          <w:szCs w:val="28"/>
        </w:rPr>
        <w:t>Mфi</w:t>
      </w:r>
      <w:proofErr w:type="spellEnd"/>
      <w:r w:rsidRPr="00FA41A1">
        <w:rPr>
          <w:color w:val="000000" w:themeColor="text1"/>
          <w:sz w:val="28"/>
          <w:szCs w:val="28"/>
        </w:rPr>
        <w:t xml:space="preserve"> / </w:t>
      </w:r>
      <w:proofErr w:type="spellStart"/>
      <w:r w:rsidRPr="00FA41A1">
        <w:rPr>
          <w:color w:val="000000" w:themeColor="text1"/>
          <w:sz w:val="28"/>
          <w:szCs w:val="28"/>
        </w:rPr>
        <w:t>Мi</w:t>
      </w:r>
      <w:proofErr w:type="spellEnd"/>
      <w:r w:rsidRPr="00FA41A1">
        <w:rPr>
          <w:color w:val="000000" w:themeColor="text1"/>
          <w:sz w:val="28"/>
          <w:szCs w:val="28"/>
        </w:rPr>
        <w:t xml:space="preserve"> x 100%,</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rPr>
          <w:color w:val="000000" w:themeColor="text1"/>
          <w:sz w:val="28"/>
          <w:szCs w:val="28"/>
        </w:rPr>
      </w:pPr>
      <w:r w:rsidRPr="00FA41A1">
        <w:rPr>
          <w:color w:val="000000" w:themeColor="text1"/>
          <w:sz w:val="28"/>
          <w:szCs w:val="28"/>
        </w:rPr>
        <w:t>где:</w:t>
      </w:r>
    </w:p>
    <w:p w:rsidR="005642ED" w:rsidRPr="00FA41A1" w:rsidRDefault="005642ED" w:rsidP="00752286">
      <w:pPr>
        <w:pStyle w:val="ConsPlusNormal"/>
        <w:spacing w:before="240"/>
        <w:ind w:firstLine="540"/>
        <w:contextualSpacing/>
        <w:jc w:val="both"/>
        <w:rPr>
          <w:color w:val="000000" w:themeColor="text1"/>
          <w:sz w:val="28"/>
          <w:szCs w:val="28"/>
        </w:rPr>
      </w:pPr>
      <w:proofErr w:type="spellStart"/>
      <w:r w:rsidRPr="00FA41A1">
        <w:rPr>
          <w:color w:val="000000" w:themeColor="text1"/>
          <w:sz w:val="28"/>
          <w:szCs w:val="28"/>
        </w:rPr>
        <w:t>Mфi</w:t>
      </w:r>
      <w:proofErr w:type="spellEnd"/>
      <w:r w:rsidRPr="00FA41A1">
        <w:rPr>
          <w:color w:val="000000" w:themeColor="text1"/>
          <w:sz w:val="28"/>
          <w:szCs w:val="28"/>
        </w:rPr>
        <w:t xml:space="preserve"> - фактическое количество граждан i-</w:t>
      </w:r>
      <w:proofErr w:type="spellStart"/>
      <w:r w:rsidRPr="00FA41A1">
        <w:rPr>
          <w:color w:val="000000" w:themeColor="text1"/>
          <w:sz w:val="28"/>
          <w:szCs w:val="28"/>
        </w:rPr>
        <w:t>го</w:t>
      </w:r>
      <w:proofErr w:type="spellEnd"/>
      <w:r w:rsidRPr="00FA41A1">
        <w:rPr>
          <w:color w:val="000000" w:themeColor="text1"/>
          <w:sz w:val="28"/>
          <w:szCs w:val="28"/>
        </w:rPr>
        <w:t xml:space="preserve"> городского округа/муниципального округа Ярославской области 14 лет и старше, принявших участие во Всероссийском голосовании;</w:t>
      </w:r>
    </w:p>
    <w:p w:rsidR="005642ED" w:rsidRPr="00FA41A1" w:rsidRDefault="005642ED" w:rsidP="00752286">
      <w:pPr>
        <w:pStyle w:val="ConsPlusNormal"/>
        <w:spacing w:before="240"/>
        <w:ind w:firstLine="540"/>
        <w:contextualSpacing/>
        <w:jc w:val="both"/>
        <w:rPr>
          <w:color w:val="000000" w:themeColor="text1"/>
          <w:sz w:val="28"/>
          <w:szCs w:val="28"/>
        </w:rPr>
      </w:pPr>
      <w:proofErr w:type="spellStart"/>
      <w:r w:rsidRPr="00FA41A1">
        <w:rPr>
          <w:color w:val="000000" w:themeColor="text1"/>
          <w:sz w:val="28"/>
          <w:szCs w:val="28"/>
        </w:rPr>
        <w:t>Mi</w:t>
      </w:r>
      <w:proofErr w:type="spellEnd"/>
      <w:r w:rsidRPr="00FA41A1">
        <w:rPr>
          <w:color w:val="000000" w:themeColor="text1"/>
          <w:sz w:val="28"/>
          <w:szCs w:val="28"/>
        </w:rPr>
        <w:t xml:space="preserve"> - количество граждан i-</w:t>
      </w:r>
      <w:proofErr w:type="spellStart"/>
      <w:r w:rsidRPr="00FA41A1">
        <w:rPr>
          <w:color w:val="000000" w:themeColor="text1"/>
          <w:sz w:val="28"/>
          <w:szCs w:val="28"/>
        </w:rPr>
        <w:t>го</w:t>
      </w:r>
      <w:proofErr w:type="spellEnd"/>
      <w:r w:rsidRPr="00FA41A1">
        <w:rPr>
          <w:color w:val="000000" w:themeColor="text1"/>
          <w:sz w:val="28"/>
          <w:szCs w:val="28"/>
        </w:rPr>
        <w:t xml:space="preserve"> городского округа/муниципального округа Ярославской области с учетом установленного Министерством строительства и жилищно-коммунального хозяйства Российской Федерации рекомендованного количества граждан (М), которые должны принять участие во Всероссийском голосовании, которое рассчитывается по формуле:</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center"/>
        <w:rPr>
          <w:color w:val="000000" w:themeColor="text1"/>
          <w:sz w:val="28"/>
          <w:szCs w:val="28"/>
        </w:rPr>
      </w:pPr>
      <w:proofErr w:type="spellStart"/>
      <w:r w:rsidRPr="00FA41A1">
        <w:rPr>
          <w:color w:val="000000" w:themeColor="text1"/>
          <w:sz w:val="28"/>
          <w:szCs w:val="28"/>
        </w:rPr>
        <w:t>Мi</w:t>
      </w:r>
      <w:proofErr w:type="spellEnd"/>
      <w:r w:rsidRPr="00FA41A1">
        <w:rPr>
          <w:color w:val="000000" w:themeColor="text1"/>
          <w:sz w:val="28"/>
          <w:szCs w:val="28"/>
        </w:rPr>
        <w:t xml:space="preserve"> = </w:t>
      </w:r>
      <w:proofErr w:type="spellStart"/>
      <w:r w:rsidRPr="00FA41A1">
        <w:rPr>
          <w:color w:val="000000" w:themeColor="text1"/>
          <w:sz w:val="28"/>
          <w:szCs w:val="28"/>
        </w:rPr>
        <w:t>Ni</w:t>
      </w:r>
      <w:proofErr w:type="spellEnd"/>
      <w:r w:rsidRPr="00FA41A1">
        <w:rPr>
          <w:color w:val="000000" w:themeColor="text1"/>
          <w:sz w:val="28"/>
          <w:szCs w:val="28"/>
        </w:rPr>
        <w:t xml:space="preserve"> x М / </w:t>
      </w:r>
      <w:proofErr w:type="spellStart"/>
      <w:r w:rsidRPr="00FA41A1">
        <w:rPr>
          <w:color w:val="000000" w:themeColor="text1"/>
          <w:sz w:val="28"/>
          <w:szCs w:val="28"/>
        </w:rPr>
        <w:t>Nобщ</w:t>
      </w:r>
      <w:proofErr w:type="spellEnd"/>
      <w:r w:rsidRPr="00FA41A1">
        <w:rPr>
          <w:color w:val="000000" w:themeColor="text1"/>
          <w:sz w:val="28"/>
          <w:szCs w:val="28"/>
        </w:rPr>
        <w:t>,</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rPr>
          <w:color w:val="000000" w:themeColor="text1"/>
          <w:sz w:val="28"/>
          <w:szCs w:val="28"/>
        </w:rPr>
      </w:pPr>
      <w:r w:rsidRPr="00FA41A1">
        <w:rPr>
          <w:color w:val="000000" w:themeColor="text1"/>
          <w:sz w:val="28"/>
          <w:szCs w:val="28"/>
        </w:rPr>
        <w:t>где:</w:t>
      </w:r>
    </w:p>
    <w:p w:rsidR="005642ED" w:rsidRPr="00FA41A1" w:rsidRDefault="005642ED" w:rsidP="00752286">
      <w:pPr>
        <w:pStyle w:val="ConsPlusNormal"/>
        <w:spacing w:before="240"/>
        <w:ind w:firstLine="540"/>
        <w:contextualSpacing/>
        <w:jc w:val="both"/>
        <w:rPr>
          <w:color w:val="000000" w:themeColor="text1"/>
          <w:sz w:val="28"/>
          <w:szCs w:val="28"/>
        </w:rPr>
      </w:pPr>
      <w:proofErr w:type="spellStart"/>
      <w:r w:rsidRPr="00FA41A1">
        <w:rPr>
          <w:color w:val="000000" w:themeColor="text1"/>
          <w:sz w:val="28"/>
          <w:szCs w:val="28"/>
        </w:rPr>
        <w:t>Ni</w:t>
      </w:r>
      <w:proofErr w:type="spellEnd"/>
      <w:r w:rsidRPr="00FA41A1">
        <w:rPr>
          <w:color w:val="000000" w:themeColor="text1"/>
          <w:sz w:val="28"/>
          <w:szCs w:val="28"/>
        </w:rPr>
        <w:t xml:space="preserve"> - численность населения i-</w:t>
      </w:r>
      <w:proofErr w:type="spellStart"/>
      <w:r w:rsidRPr="00FA41A1">
        <w:rPr>
          <w:color w:val="000000" w:themeColor="text1"/>
          <w:sz w:val="28"/>
          <w:szCs w:val="28"/>
        </w:rPr>
        <w:t>го</w:t>
      </w:r>
      <w:proofErr w:type="spellEnd"/>
      <w:r w:rsidRPr="00FA41A1">
        <w:rPr>
          <w:color w:val="000000" w:themeColor="text1"/>
          <w:sz w:val="28"/>
          <w:szCs w:val="28"/>
        </w:rPr>
        <w:t xml:space="preserve"> городского округа/муниципального округа Ярославской области в возрасте 14 лет и старше по состоянию на 01 января 2023 года, по данным территориального органа Федеральной службы государственной статистики по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proofErr w:type="spellStart"/>
      <w:r w:rsidRPr="00FA41A1">
        <w:rPr>
          <w:color w:val="000000" w:themeColor="text1"/>
          <w:sz w:val="28"/>
          <w:szCs w:val="28"/>
        </w:rPr>
        <w:t>Nобщ</w:t>
      </w:r>
      <w:proofErr w:type="spellEnd"/>
      <w:r w:rsidRPr="00FA41A1">
        <w:rPr>
          <w:color w:val="000000" w:themeColor="text1"/>
          <w:sz w:val="28"/>
          <w:szCs w:val="28"/>
        </w:rPr>
        <w:t xml:space="preserve"> - численность населения муниципальных и городских округов Ярославской области в возрасте 14 лет и старше по состоянию на 01 января 2023 года, по данным территориального органа Федеральной службы государственной статистики по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6.2. Распределение иных межбюджетных трансфертов внутри муниципальных округов Ярославской области осуществляется между бюджетами поселений на основании заявок органов местного самоуправления поселений, осуществлявших на день создания муниципального округа Ярославской области полномочия по решению вопросов местного значения на соответствующей территории.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Муниципальные образования формируют перечень территорий, требующих благоустройства, и направляют его на рассмотрение общественных комиссий городских, муниципальных округов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Общественные комиссии городских, муниципальных округов Ярославской области осуществляют отбор территорий, подлежащих благоустройству, в рамках лимитов выделенных средств и в срок до 31 декабря года, предшествующего году реализации мероприятий по благоустройству территорий, формируют адресный перечень территорий и направляют его в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для формирования сводного адресного перечня. Сводный адресный перечень территорий благоустройства в разрезе муниципальных образований утверждается постановлением Правительства Ярославской </w:t>
      </w:r>
      <w:r w:rsidRPr="00FA41A1">
        <w:rPr>
          <w:color w:val="000000" w:themeColor="text1"/>
          <w:sz w:val="28"/>
          <w:szCs w:val="28"/>
        </w:rPr>
        <w:lastRenderedPageBreak/>
        <w:t>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7. Уровень финансирования расходного обязательства муниципального образования за счет иных межбюджетных трансфертов из областного бюджета устанавливается в размере 100 процентов.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В случае если сметная стоимость мероприятий регионального проекта "Формирование комфортной городской среды" в целом превышает сумму иного межбюджетного трансферта из областного бюджета, разница компенсируется за счет средств бюджета муниципального образования.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8. Распределение иных межбюджетных трансфертов утверждается постановлением Правительства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9.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N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Соглашение заключается в срок, установленный Бюджетным кодексом Российской Федерации.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Перечень документов, необходимых для заключения соглашения: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формирования комфортной городской среды;</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копия утвержденной муниципальной программы формирования комфортной городской среды, на </w:t>
      </w:r>
      <w:proofErr w:type="spellStart"/>
      <w:r w:rsidRPr="00FA41A1">
        <w:rPr>
          <w:color w:val="000000" w:themeColor="text1"/>
          <w:sz w:val="28"/>
          <w:szCs w:val="28"/>
        </w:rPr>
        <w:t>софинансирование</w:t>
      </w:r>
      <w:proofErr w:type="spellEnd"/>
      <w:r w:rsidRPr="00FA41A1">
        <w:rPr>
          <w:color w:val="000000" w:themeColor="text1"/>
          <w:sz w:val="28"/>
          <w:szCs w:val="28"/>
        </w:rPr>
        <w:t xml:space="preserve"> мероприятий которой предоставляется иной межбюджетный трансферт, или гарантийное письмо о включении мероприятий в указанную муниципальную программу.</w:t>
      </w:r>
    </w:p>
    <w:p w:rsidR="005642ED" w:rsidRPr="00FA41A1" w:rsidRDefault="005642ED" w:rsidP="00752286">
      <w:pPr>
        <w:pStyle w:val="ConsPlusNormal"/>
        <w:spacing w:before="240"/>
        <w:ind w:firstLine="540"/>
        <w:contextualSpacing/>
        <w:jc w:val="both"/>
        <w:rPr>
          <w:color w:val="000000" w:themeColor="text1"/>
          <w:sz w:val="28"/>
          <w:szCs w:val="28"/>
        </w:rPr>
      </w:pPr>
      <w:bookmarkStart w:id="1" w:name="P73"/>
      <w:bookmarkEnd w:id="1"/>
      <w:r w:rsidRPr="00FA41A1">
        <w:rPr>
          <w:color w:val="000000" w:themeColor="text1"/>
          <w:sz w:val="28"/>
          <w:szCs w:val="28"/>
        </w:rPr>
        <w:t>10. Результатом предоставления иных межбюджетных трансфертов является количество благоустроенных общественных территорий муниципальных образований, принявших активное участие во Всероссийском голосовании.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Плановые значения результата предоставления иных межбюджетных трансфертов устанавливаются соглашением.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11.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11.1. Перечисление из областного бюджета иных межбюджетных трансфертов получателю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и утвержденного кассового плана областного бюджета на текущий финансовый год.</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lastRenderedPageBreak/>
        <w:t>11.2. 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5642ED" w:rsidRPr="00FA41A1" w:rsidRDefault="005642ED" w:rsidP="00752286">
      <w:pPr>
        <w:pStyle w:val="ConsPlusNormal"/>
        <w:spacing w:before="240"/>
        <w:ind w:firstLine="540"/>
        <w:contextualSpacing/>
        <w:jc w:val="both"/>
        <w:rPr>
          <w:color w:val="000000" w:themeColor="text1"/>
          <w:sz w:val="28"/>
          <w:szCs w:val="28"/>
        </w:rPr>
      </w:pPr>
      <w:bookmarkStart w:id="2" w:name="P79"/>
      <w:bookmarkEnd w:id="2"/>
      <w:r w:rsidRPr="00FA41A1">
        <w:rPr>
          <w:color w:val="000000" w:themeColor="text1"/>
          <w:sz w:val="28"/>
          <w:szCs w:val="28"/>
        </w:rPr>
        <w:t xml:space="preserve">12. Получатель представляет в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заявку на перечисление иных межбюджетных трансфертов по форме согласно </w:t>
      </w:r>
      <w:proofErr w:type="gramStart"/>
      <w:r w:rsidRPr="00FA41A1">
        <w:rPr>
          <w:color w:val="000000" w:themeColor="text1"/>
          <w:sz w:val="28"/>
          <w:szCs w:val="28"/>
        </w:rPr>
        <w:t>приложению</w:t>
      </w:r>
      <w:proofErr w:type="gramEnd"/>
      <w:r w:rsidRPr="00FA41A1">
        <w:rPr>
          <w:color w:val="000000" w:themeColor="text1"/>
          <w:sz w:val="28"/>
          <w:szCs w:val="28"/>
        </w:rPr>
        <w:t xml:space="preserve"> к Методике и правилам, подписанную лицом, имеющим право действовать от имени руководителя органа местного самоуправления, на бумажном носителе, к которой прилагаются: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копии контрактов (договоров)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 формирования комфортной городской среды);</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выписка из муниципальной программы формирования комфортной городской среды;</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копии справок о стоимости выполненных работ и затрат по форме КС-3,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товарная накладная, счет на оплату/счет-фактура;</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гарантийные паспорта;</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5642ED" w:rsidRPr="00FA41A1" w:rsidRDefault="005642ED" w:rsidP="00752286">
      <w:pPr>
        <w:pStyle w:val="ConsPlusNormal"/>
        <w:spacing w:before="240"/>
        <w:ind w:firstLine="540"/>
        <w:contextualSpacing/>
        <w:jc w:val="both"/>
        <w:rPr>
          <w:color w:val="000000" w:themeColor="text1"/>
          <w:sz w:val="28"/>
          <w:szCs w:val="28"/>
        </w:rPr>
      </w:pPr>
      <w:bookmarkStart w:id="3" w:name="P87"/>
      <w:bookmarkEnd w:id="3"/>
      <w:r w:rsidRPr="00FA41A1">
        <w:rPr>
          <w:color w:val="000000" w:themeColor="text1"/>
          <w:sz w:val="28"/>
          <w:szCs w:val="28"/>
        </w:rPr>
        <w:t xml:space="preserve">13. Муниципальные образования представляют в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отчеты по формам, установленным соглашением: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отчет о расходах, в целях </w:t>
      </w:r>
      <w:proofErr w:type="spellStart"/>
      <w:r w:rsidRPr="00FA41A1">
        <w:rPr>
          <w:color w:val="000000" w:themeColor="text1"/>
          <w:sz w:val="28"/>
          <w:szCs w:val="28"/>
        </w:rPr>
        <w:t>софинансирования</w:t>
      </w:r>
      <w:proofErr w:type="spellEnd"/>
      <w:r w:rsidRPr="00FA41A1">
        <w:rPr>
          <w:color w:val="000000" w:themeColor="text1"/>
          <w:sz w:val="28"/>
          <w:szCs w:val="28"/>
        </w:rPr>
        <w:t xml:space="preserve"> которых предоставляются иные межбюджетные трансферты, - не позднее 10-го числа месяца, следующего за отчетным кварталом;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отчет о достижении значений результатов предоставления иных межбюджетных трансфертов и об обязательствах, принятых в целях их достижения, - не позднее 20 января, следующего за годом, в котором были получены иные межбюджетные трансферты.</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14. Обязательством муниципальных образований является 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w:t>
      </w:r>
      <w:r w:rsidRPr="00FA41A1">
        <w:rPr>
          <w:color w:val="000000" w:themeColor="text1"/>
          <w:sz w:val="28"/>
          <w:szCs w:val="28"/>
        </w:rPr>
        <w:lastRenderedPageBreak/>
        <w:t>пространств населенных пунктов Ярославской области.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15. В случае образования экономии, сложившейся по итогам проведения конкурентных процедур, муниципальные образования руководствуются Порядком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утвержденным постановлением Правительства Ярославской области от 20.02.2025 N 138-п "О Порядке направления экономии, образовавшейся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бюджету муниципального образования Ярославской области, и внесении изменения в постановление Правительства Ярославской области от 17.07.2020 N 605-п".</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16.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w:t>
      </w:r>
      <w:hyperlink w:anchor="P79" w:tooltip="12. Получатель представляет в МСиЖКХ ЯО 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
        <w:r w:rsidRPr="00FA41A1">
          <w:rPr>
            <w:color w:val="000000" w:themeColor="text1"/>
            <w:sz w:val="28"/>
            <w:szCs w:val="28"/>
          </w:rPr>
          <w:t>пункте 12</w:t>
        </w:r>
      </w:hyperlink>
      <w:r w:rsidRPr="00FA41A1">
        <w:rPr>
          <w:color w:val="000000" w:themeColor="text1"/>
          <w:sz w:val="28"/>
          <w:szCs w:val="28"/>
        </w:rPr>
        <w:t xml:space="preserve"> Методики и правил, главному распорядителю средств областного бюджета представлены в отчетном году, </w:t>
      </w:r>
      <w:proofErr w:type="spellStart"/>
      <w:r w:rsidRPr="00FA41A1">
        <w:rPr>
          <w:color w:val="000000" w:themeColor="text1"/>
          <w:sz w:val="28"/>
          <w:szCs w:val="28"/>
        </w:rPr>
        <w:t>неперечисленный</w:t>
      </w:r>
      <w:proofErr w:type="spellEnd"/>
      <w:r w:rsidRPr="00FA41A1">
        <w:rPr>
          <w:color w:val="000000" w:themeColor="text1"/>
          <w:sz w:val="28"/>
          <w:szCs w:val="28"/>
        </w:rPr>
        <w:t xml:space="preserve"> объем средств, потребность в котором сохраняется, подлежит перечислению в очередном году на те же цели без представления документов, указанных в </w:t>
      </w:r>
      <w:hyperlink w:anchor="P79" w:tooltip="12. Получатель представляет в МСиЖКХ ЯО заявку на перечисление иных межбюджетных трансфертов по форме согласно приложению к Методике и правилам, подписанную лицом, имеющим право действовать от имени руководителя органа местного самоуправления, на бумажном носи">
        <w:r w:rsidRPr="00FA41A1">
          <w:rPr>
            <w:color w:val="000000" w:themeColor="text1"/>
            <w:sz w:val="28"/>
            <w:szCs w:val="28"/>
          </w:rPr>
          <w:t>пункте 12</w:t>
        </w:r>
      </w:hyperlink>
      <w:r w:rsidRPr="00FA41A1">
        <w:rPr>
          <w:color w:val="000000" w:themeColor="text1"/>
          <w:sz w:val="28"/>
          <w:szCs w:val="28"/>
        </w:rPr>
        <w:t xml:space="preserve"> Методики и правил.</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решения о наличии (об отсутствии) потребности в данных остатках, определен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В случае если муниципальным образованием по состоянию на 31 декабря </w:t>
      </w:r>
      <w:r w:rsidRPr="00FA41A1">
        <w:rPr>
          <w:color w:val="000000" w:themeColor="text1"/>
          <w:sz w:val="28"/>
          <w:szCs w:val="28"/>
        </w:rPr>
        <w:lastRenderedPageBreak/>
        <w:t>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FA41A1">
        <w:rPr>
          <w:color w:val="000000" w:themeColor="text1"/>
          <w:sz w:val="28"/>
          <w:szCs w:val="28"/>
        </w:rPr>
        <w:t>Vвозврата</w:t>
      </w:r>
      <w:proofErr w:type="spellEnd"/>
      <w:r w:rsidRPr="00FA41A1">
        <w:rPr>
          <w:color w:val="000000" w:themeColor="text1"/>
          <w:sz w:val="28"/>
          <w:szCs w:val="28"/>
        </w:rPr>
        <w:t>), определяемом по формуле:</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center"/>
        <w:rPr>
          <w:color w:val="000000" w:themeColor="text1"/>
          <w:sz w:val="28"/>
          <w:szCs w:val="28"/>
        </w:rPr>
      </w:pPr>
      <w:proofErr w:type="spellStart"/>
      <w:r w:rsidRPr="00FA41A1">
        <w:rPr>
          <w:color w:val="000000" w:themeColor="text1"/>
          <w:sz w:val="28"/>
          <w:szCs w:val="28"/>
        </w:rPr>
        <w:t>Vвозврата</w:t>
      </w:r>
      <w:proofErr w:type="spellEnd"/>
      <w:r w:rsidRPr="00FA41A1">
        <w:rPr>
          <w:color w:val="000000" w:themeColor="text1"/>
          <w:sz w:val="28"/>
          <w:szCs w:val="28"/>
        </w:rPr>
        <w:t xml:space="preserve"> = (</w:t>
      </w:r>
      <w:proofErr w:type="spellStart"/>
      <w:r w:rsidRPr="00FA41A1">
        <w:rPr>
          <w:color w:val="000000" w:themeColor="text1"/>
          <w:sz w:val="28"/>
          <w:szCs w:val="28"/>
        </w:rPr>
        <w:t>Vмт</w:t>
      </w:r>
      <w:proofErr w:type="spellEnd"/>
      <w:r w:rsidRPr="00FA41A1">
        <w:rPr>
          <w:color w:val="000000" w:themeColor="text1"/>
          <w:sz w:val="28"/>
          <w:szCs w:val="28"/>
        </w:rPr>
        <w:t xml:space="preserve"> x k) x 0,1,</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rPr>
          <w:color w:val="000000" w:themeColor="text1"/>
          <w:sz w:val="28"/>
          <w:szCs w:val="28"/>
        </w:rPr>
      </w:pPr>
      <w:r w:rsidRPr="00FA41A1">
        <w:rPr>
          <w:color w:val="000000" w:themeColor="text1"/>
          <w:sz w:val="28"/>
          <w:szCs w:val="28"/>
        </w:rPr>
        <w:t>где:</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w:t>
      </w:r>
      <w:proofErr w:type="spellStart"/>
      <w:r w:rsidRPr="00FA41A1">
        <w:rPr>
          <w:color w:val="000000" w:themeColor="text1"/>
          <w:sz w:val="28"/>
          <w:szCs w:val="28"/>
        </w:rPr>
        <w:t>Vмт</w:t>
      </w:r>
      <w:proofErr w:type="spellEnd"/>
      <w:r w:rsidRPr="00FA41A1">
        <w:rPr>
          <w:color w:val="000000" w:themeColor="text1"/>
          <w:sz w:val="28"/>
          <w:szCs w:val="28"/>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k - коэффициент возврата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- 0,1 - понижающий коэффициент суммы возврата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Коэффициент возврата иных межбюджетных трансфертов (k) рассчитывается по формуле:</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center"/>
        <w:rPr>
          <w:color w:val="000000" w:themeColor="text1"/>
          <w:sz w:val="28"/>
          <w:szCs w:val="28"/>
        </w:rPr>
      </w:pPr>
      <w:r w:rsidRPr="00FA41A1">
        <w:rPr>
          <w:noProof/>
          <w:color w:val="000000" w:themeColor="text1"/>
          <w:position w:val="-12"/>
          <w:sz w:val="28"/>
          <w:szCs w:val="28"/>
        </w:rPr>
        <w:drawing>
          <wp:inline distT="0" distB="0" distL="0" distR="0" wp14:anchorId="73C5FC0D" wp14:editId="0D6380F4">
            <wp:extent cx="105156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1560" cy="308610"/>
                    </a:xfrm>
                    <a:prstGeom prst="rect">
                      <a:avLst/>
                    </a:prstGeom>
                    <a:noFill/>
                    <a:ln>
                      <a:noFill/>
                    </a:ln>
                  </pic:spPr>
                </pic:pic>
              </a:graphicData>
            </a:graphic>
          </wp:inline>
        </w:drawing>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both"/>
        <w:rPr>
          <w:color w:val="000000" w:themeColor="text1"/>
          <w:sz w:val="28"/>
          <w:szCs w:val="28"/>
        </w:rPr>
      </w:pPr>
      <w:r w:rsidRPr="00FA41A1">
        <w:rPr>
          <w:color w:val="000000" w:themeColor="text1"/>
          <w:sz w:val="28"/>
          <w:szCs w:val="28"/>
        </w:rPr>
        <w:t xml:space="preserve">где </w:t>
      </w:r>
      <w:proofErr w:type="spellStart"/>
      <w:r w:rsidRPr="00FA41A1">
        <w:rPr>
          <w:color w:val="000000" w:themeColor="text1"/>
          <w:sz w:val="28"/>
          <w:szCs w:val="28"/>
        </w:rPr>
        <w:t>Di</w:t>
      </w:r>
      <w:proofErr w:type="spellEnd"/>
      <w:r w:rsidRPr="00FA41A1">
        <w:rPr>
          <w:color w:val="000000" w:themeColor="text1"/>
          <w:sz w:val="28"/>
          <w:szCs w:val="28"/>
        </w:rPr>
        <w:t xml:space="preserve"> - индекс, отражающий уровень </w:t>
      </w:r>
      <w:proofErr w:type="spellStart"/>
      <w:r w:rsidRPr="00FA41A1">
        <w:rPr>
          <w:color w:val="000000" w:themeColor="text1"/>
          <w:sz w:val="28"/>
          <w:szCs w:val="28"/>
        </w:rPr>
        <w:t>недостижения</w:t>
      </w:r>
      <w:proofErr w:type="spellEnd"/>
      <w:r w:rsidRPr="00FA41A1">
        <w:rPr>
          <w:color w:val="000000" w:themeColor="text1"/>
          <w:sz w:val="28"/>
          <w:szCs w:val="28"/>
        </w:rPr>
        <w:t xml:space="preserve"> i-</w:t>
      </w:r>
      <w:proofErr w:type="spellStart"/>
      <w:r w:rsidRPr="00FA41A1">
        <w:rPr>
          <w:color w:val="000000" w:themeColor="text1"/>
          <w:sz w:val="28"/>
          <w:szCs w:val="28"/>
        </w:rPr>
        <w:t>го</w:t>
      </w:r>
      <w:proofErr w:type="spellEnd"/>
      <w:r w:rsidRPr="00FA41A1">
        <w:rPr>
          <w:color w:val="000000" w:themeColor="text1"/>
          <w:sz w:val="28"/>
          <w:szCs w:val="28"/>
        </w:rPr>
        <w:t xml:space="preserve"> результата предоставления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FA41A1">
        <w:rPr>
          <w:color w:val="000000" w:themeColor="text1"/>
          <w:sz w:val="28"/>
          <w:szCs w:val="28"/>
        </w:rPr>
        <w:t>недостижения</w:t>
      </w:r>
      <w:proofErr w:type="spellEnd"/>
      <w:r w:rsidRPr="00FA41A1">
        <w:rPr>
          <w:color w:val="000000" w:themeColor="text1"/>
          <w:sz w:val="28"/>
          <w:szCs w:val="28"/>
        </w:rPr>
        <w:t xml:space="preserve"> i-</w:t>
      </w:r>
      <w:proofErr w:type="spellStart"/>
      <w:r w:rsidRPr="00FA41A1">
        <w:rPr>
          <w:color w:val="000000" w:themeColor="text1"/>
          <w:sz w:val="28"/>
          <w:szCs w:val="28"/>
        </w:rPr>
        <w:t>го</w:t>
      </w:r>
      <w:proofErr w:type="spellEnd"/>
      <w:r w:rsidRPr="00FA41A1">
        <w:rPr>
          <w:color w:val="000000" w:themeColor="text1"/>
          <w:sz w:val="28"/>
          <w:szCs w:val="28"/>
        </w:rPr>
        <w:t xml:space="preserve"> результата предоставления иных межбюджетных трансфертов.</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Индекс, отражающий уровень </w:t>
      </w:r>
      <w:proofErr w:type="spellStart"/>
      <w:r w:rsidRPr="00FA41A1">
        <w:rPr>
          <w:color w:val="000000" w:themeColor="text1"/>
          <w:sz w:val="28"/>
          <w:szCs w:val="28"/>
        </w:rPr>
        <w:t>недостижения</w:t>
      </w:r>
      <w:proofErr w:type="spellEnd"/>
      <w:r w:rsidRPr="00FA41A1">
        <w:rPr>
          <w:color w:val="000000" w:themeColor="text1"/>
          <w:sz w:val="28"/>
          <w:szCs w:val="28"/>
        </w:rPr>
        <w:t xml:space="preserve"> i-</w:t>
      </w:r>
      <w:proofErr w:type="spellStart"/>
      <w:r w:rsidRPr="00FA41A1">
        <w:rPr>
          <w:color w:val="000000" w:themeColor="text1"/>
          <w:sz w:val="28"/>
          <w:szCs w:val="28"/>
        </w:rPr>
        <w:t>го</w:t>
      </w:r>
      <w:proofErr w:type="spellEnd"/>
      <w:r w:rsidRPr="00FA41A1">
        <w:rPr>
          <w:color w:val="000000" w:themeColor="text1"/>
          <w:sz w:val="28"/>
          <w:szCs w:val="28"/>
        </w:rPr>
        <w:t xml:space="preserve"> результата предоставления иных межбюджетных трансфертов (</w:t>
      </w:r>
      <w:proofErr w:type="spellStart"/>
      <w:r w:rsidRPr="00FA41A1">
        <w:rPr>
          <w:color w:val="000000" w:themeColor="text1"/>
          <w:sz w:val="28"/>
          <w:szCs w:val="28"/>
        </w:rPr>
        <w:t>Di</w:t>
      </w:r>
      <w:proofErr w:type="spellEnd"/>
      <w:r w:rsidRPr="00FA41A1">
        <w:rPr>
          <w:color w:val="000000" w:themeColor="text1"/>
          <w:sz w:val="28"/>
          <w:szCs w:val="28"/>
        </w:rPr>
        <w:t>), определяется по формуле:</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jc w:val="center"/>
        <w:rPr>
          <w:color w:val="000000" w:themeColor="text1"/>
          <w:sz w:val="28"/>
          <w:szCs w:val="28"/>
        </w:rPr>
      </w:pPr>
      <w:proofErr w:type="spellStart"/>
      <w:r w:rsidRPr="00FA41A1">
        <w:rPr>
          <w:color w:val="000000" w:themeColor="text1"/>
          <w:sz w:val="28"/>
          <w:szCs w:val="28"/>
        </w:rPr>
        <w:t>Di</w:t>
      </w:r>
      <w:proofErr w:type="spellEnd"/>
      <w:r w:rsidRPr="00FA41A1">
        <w:rPr>
          <w:color w:val="000000" w:themeColor="text1"/>
          <w:sz w:val="28"/>
          <w:szCs w:val="28"/>
        </w:rPr>
        <w:t xml:space="preserve"> = 1 - </w:t>
      </w:r>
      <w:proofErr w:type="spellStart"/>
      <w:r w:rsidRPr="00FA41A1">
        <w:rPr>
          <w:color w:val="000000" w:themeColor="text1"/>
          <w:sz w:val="28"/>
          <w:szCs w:val="28"/>
        </w:rPr>
        <w:t>Ti</w:t>
      </w:r>
      <w:proofErr w:type="spellEnd"/>
      <w:r w:rsidRPr="00FA41A1">
        <w:rPr>
          <w:color w:val="000000" w:themeColor="text1"/>
          <w:sz w:val="28"/>
          <w:szCs w:val="28"/>
        </w:rPr>
        <w:t xml:space="preserve"> / </w:t>
      </w:r>
      <w:proofErr w:type="spellStart"/>
      <w:r w:rsidRPr="00FA41A1">
        <w:rPr>
          <w:color w:val="000000" w:themeColor="text1"/>
          <w:sz w:val="28"/>
          <w:szCs w:val="28"/>
        </w:rPr>
        <w:t>Si</w:t>
      </w:r>
      <w:proofErr w:type="spellEnd"/>
      <w:r w:rsidRPr="00FA41A1">
        <w:rPr>
          <w:color w:val="000000" w:themeColor="text1"/>
          <w:sz w:val="28"/>
          <w:szCs w:val="28"/>
        </w:rPr>
        <w:t>,</w:t>
      </w:r>
    </w:p>
    <w:p w:rsidR="005642ED" w:rsidRPr="00FA41A1" w:rsidRDefault="005642ED" w:rsidP="00752286">
      <w:pPr>
        <w:pStyle w:val="ConsPlusNormal"/>
        <w:contextualSpacing/>
        <w:jc w:val="both"/>
        <w:rPr>
          <w:color w:val="000000" w:themeColor="text1"/>
          <w:sz w:val="28"/>
          <w:szCs w:val="28"/>
        </w:rPr>
      </w:pPr>
    </w:p>
    <w:p w:rsidR="005642ED" w:rsidRPr="00FA41A1" w:rsidRDefault="005642ED" w:rsidP="00752286">
      <w:pPr>
        <w:pStyle w:val="ConsPlusNormal"/>
        <w:contextualSpacing/>
        <w:rPr>
          <w:color w:val="000000" w:themeColor="text1"/>
          <w:sz w:val="28"/>
          <w:szCs w:val="28"/>
        </w:rPr>
      </w:pPr>
      <w:r w:rsidRPr="00FA41A1">
        <w:rPr>
          <w:color w:val="000000" w:themeColor="text1"/>
          <w:sz w:val="28"/>
          <w:szCs w:val="28"/>
        </w:rPr>
        <w:t>где:</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w:t>
      </w:r>
      <w:proofErr w:type="spellStart"/>
      <w:r w:rsidRPr="00FA41A1">
        <w:rPr>
          <w:color w:val="000000" w:themeColor="text1"/>
          <w:sz w:val="28"/>
          <w:szCs w:val="28"/>
        </w:rPr>
        <w:t>Ti</w:t>
      </w:r>
      <w:proofErr w:type="spellEnd"/>
      <w:r w:rsidRPr="00FA41A1">
        <w:rPr>
          <w:color w:val="000000" w:themeColor="text1"/>
          <w:sz w:val="28"/>
          <w:szCs w:val="28"/>
        </w:rPr>
        <w:t xml:space="preserve"> - фактически достигнутое значение i-</w:t>
      </w:r>
      <w:proofErr w:type="spellStart"/>
      <w:r w:rsidRPr="00FA41A1">
        <w:rPr>
          <w:color w:val="000000" w:themeColor="text1"/>
          <w:sz w:val="28"/>
          <w:szCs w:val="28"/>
        </w:rPr>
        <w:t>го</w:t>
      </w:r>
      <w:proofErr w:type="spellEnd"/>
      <w:r w:rsidRPr="00FA41A1">
        <w:rPr>
          <w:color w:val="000000" w:themeColor="text1"/>
          <w:sz w:val="28"/>
          <w:szCs w:val="28"/>
        </w:rPr>
        <w:t xml:space="preserve"> результата предоставления иных межбюджетных трансфертов на отчетную дату;</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 </w:t>
      </w:r>
      <w:proofErr w:type="spellStart"/>
      <w:r w:rsidRPr="00FA41A1">
        <w:rPr>
          <w:color w:val="000000" w:themeColor="text1"/>
          <w:sz w:val="28"/>
          <w:szCs w:val="28"/>
        </w:rPr>
        <w:t>Si</w:t>
      </w:r>
      <w:proofErr w:type="spellEnd"/>
      <w:r w:rsidRPr="00FA41A1">
        <w:rPr>
          <w:color w:val="000000" w:themeColor="text1"/>
          <w:sz w:val="28"/>
          <w:szCs w:val="28"/>
        </w:rPr>
        <w:t xml:space="preserve"> - плановое значение i-</w:t>
      </w:r>
      <w:proofErr w:type="spellStart"/>
      <w:r w:rsidRPr="00FA41A1">
        <w:rPr>
          <w:color w:val="000000" w:themeColor="text1"/>
          <w:sz w:val="28"/>
          <w:szCs w:val="28"/>
        </w:rPr>
        <w:t>го</w:t>
      </w:r>
      <w:proofErr w:type="spellEnd"/>
      <w:r w:rsidRPr="00FA41A1">
        <w:rPr>
          <w:color w:val="000000" w:themeColor="text1"/>
          <w:sz w:val="28"/>
          <w:szCs w:val="28"/>
        </w:rPr>
        <w:t xml:space="preserve"> результата предоставления иных межбюджетных трансфертов, установленное соглашением.</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lastRenderedPageBreak/>
        <w:t>17.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5642ED" w:rsidRPr="00FA41A1" w:rsidRDefault="005642ED" w:rsidP="00752286">
      <w:pPr>
        <w:pStyle w:val="ConsPlusNormal"/>
        <w:spacing w:before="240"/>
        <w:ind w:firstLine="540"/>
        <w:contextualSpacing/>
        <w:jc w:val="both"/>
        <w:rPr>
          <w:color w:val="000000" w:themeColor="text1"/>
          <w:sz w:val="28"/>
          <w:szCs w:val="28"/>
        </w:rPr>
      </w:pPr>
      <w:r w:rsidRPr="00FA41A1">
        <w:rPr>
          <w:color w:val="000000" w:themeColor="text1"/>
          <w:sz w:val="28"/>
          <w:szCs w:val="28"/>
        </w:rPr>
        <w:t xml:space="preserve">18. Контроль за соблюдением условий предоставления иных межбюджетных трансфертов осуществляют </w:t>
      </w:r>
      <w:proofErr w:type="spellStart"/>
      <w:r w:rsidRPr="00FA41A1">
        <w:rPr>
          <w:color w:val="000000" w:themeColor="text1"/>
          <w:sz w:val="28"/>
          <w:szCs w:val="28"/>
        </w:rPr>
        <w:t>МСиЖКХ</w:t>
      </w:r>
      <w:proofErr w:type="spellEnd"/>
      <w:r w:rsidRPr="00FA41A1">
        <w:rPr>
          <w:color w:val="000000" w:themeColor="text1"/>
          <w:sz w:val="28"/>
          <w:szCs w:val="28"/>
        </w:rPr>
        <w:t xml:space="preserve"> ЯО и органы государственного финансового контроля в соответствии с действующим законодательством.</w:t>
      </w:r>
    </w:p>
    <w:p w:rsidR="00D4165A" w:rsidRDefault="00D4165A" w:rsidP="00752286">
      <w:pPr>
        <w:contextualSpacing/>
      </w:pPr>
    </w:p>
    <w:sectPr w:rsidR="00D4165A" w:rsidSect="00050A5D">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ED" w:rsidRDefault="005642ED" w:rsidP="005642ED">
      <w:pPr>
        <w:spacing w:after="0" w:line="240" w:lineRule="auto"/>
      </w:pPr>
      <w:r>
        <w:separator/>
      </w:r>
    </w:p>
  </w:endnote>
  <w:endnote w:type="continuationSeparator" w:id="0">
    <w:p w:rsidR="005642ED" w:rsidRDefault="005642ED" w:rsidP="0056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ED" w:rsidRDefault="005642ED" w:rsidP="005642ED">
      <w:pPr>
        <w:spacing w:after="0" w:line="240" w:lineRule="auto"/>
      </w:pPr>
      <w:r>
        <w:separator/>
      </w:r>
    </w:p>
  </w:footnote>
  <w:footnote w:type="continuationSeparator" w:id="0">
    <w:p w:rsidR="005642ED" w:rsidRDefault="005642ED" w:rsidP="0056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484075"/>
      <w:docPartObj>
        <w:docPartGallery w:val="Page Numbers (Top of Page)"/>
        <w:docPartUnique/>
      </w:docPartObj>
    </w:sdtPr>
    <w:sdtEndPr>
      <w:rPr>
        <w:rFonts w:ascii="Times New Roman" w:hAnsi="Times New Roman" w:cs="Times New Roman"/>
        <w:sz w:val="24"/>
        <w:szCs w:val="24"/>
      </w:rPr>
    </w:sdtEndPr>
    <w:sdtContent>
      <w:p w:rsidR="005642ED" w:rsidRPr="00050A5D" w:rsidRDefault="005642ED" w:rsidP="00050A5D">
        <w:pPr>
          <w:pStyle w:val="a3"/>
          <w:jc w:val="center"/>
          <w:rPr>
            <w:rFonts w:ascii="Times New Roman" w:hAnsi="Times New Roman" w:cs="Times New Roman"/>
            <w:sz w:val="24"/>
            <w:szCs w:val="24"/>
          </w:rPr>
        </w:pPr>
        <w:r w:rsidRPr="00752286">
          <w:rPr>
            <w:rFonts w:ascii="Times New Roman" w:hAnsi="Times New Roman" w:cs="Times New Roman"/>
            <w:sz w:val="24"/>
            <w:szCs w:val="24"/>
          </w:rPr>
          <w:fldChar w:fldCharType="begin"/>
        </w:r>
        <w:r w:rsidRPr="00752286">
          <w:rPr>
            <w:rFonts w:ascii="Times New Roman" w:hAnsi="Times New Roman" w:cs="Times New Roman"/>
            <w:sz w:val="24"/>
            <w:szCs w:val="24"/>
          </w:rPr>
          <w:instrText>PAGE   \* MERGEFORMAT</w:instrText>
        </w:r>
        <w:r w:rsidRPr="00752286">
          <w:rPr>
            <w:rFonts w:ascii="Times New Roman" w:hAnsi="Times New Roman" w:cs="Times New Roman"/>
            <w:sz w:val="24"/>
            <w:szCs w:val="24"/>
          </w:rPr>
          <w:fldChar w:fldCharType="separate"/>
        </w:r>
        <w:r w:rsidR="00B05CCC">
          <w:rPr>
            <w:rFonts w:ascii="Times New Roman" w:hAnsi="Times New Roman" w:cs="Times New Roman"/>
            <w:noProof/>
            <w:sz w:val="24"/>
            <w:szCs w:val="24"/>
          </w:rPr>
          <w:t>8</w:t>
        </w:r>
        <w:r w:rsidRPr="00752286">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ED"/>
    <w:rsid w:val="00050A5D"/>
    <w:rsid w:val="005642ED"/>
    <w:rsid w:val="00752286"/>
    <w:rsid w:val="00B05CCC"/>
    <w:rsid w:val="00D4165A"/>
    <w:rsid w:val="00F44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6C406"/>
  <w15:chartTrackingRefBased/>
  <w15:docId w15:val="{EC6F0707-7CBB-49F4-B022-2E14E5B8D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2E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5642ED"/>
    <w:pPr>
      <w:widowControl w:val="0"/>
      <w:autoSpaceDE w:val="0"/>
      <w:autoSpaceDN w:val="0"/>
      <w:spacing w:after="0" w:line="240" w:lineRule="auto"/>
    </w:pPr>
    <w:rPr>
      <w:rFonts w:ascii="Arial" w:eastAsia="Times New Roman" w:hAnsi="Arial" w:cs="Arial"/>
      <w:b/>
      <w:sz w:val="24"/>
      <w:szCs w:val="20"/>
      <w:lang w:eastAsia="ru-RU"/>
    </w:rPr>
  </w:style>
  <w:style w:type="paragraph" w:styleId="a3">
    <w:name w:val="header"/>
    <w:basedOn w:val="a"/>
    <w:link w:val="a4"/>
    <w:uiPriority w:val="99"/>
    <w:unhideWhenUsed/>
    <w:rsid w:val="005642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642ED"/>
  </w:style>
  <w:style w:type="paragraph" w:styleId="a5">
    <w:name w:val="footer"/>
    <w:basedOn w:val="a"/>
    <w:link w:val="a6"/>
    <w:uiPriority w:val="99"/>
    <w:unhideWhenUsed/>
    <w:rsid w:val="005642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6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2698</Words>
  <Characters>15385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Гусева Любовь Геннадьевна</dc:creator>
  <cp:keywords/>
  <dc:description/>
  <cp:lastModifiedBy>Овсянникова Евгения Владимировна</cp:lastModifiedBy>
  <cp:revision>5</cp:revision>
  <dcterms:created xsi:type="dcterms:W3CDTF">2026-02-06T10:54:00Z</dcterms:created>
  <dcterms:modified xsi:type="dcterms:W3CDTF">2026-02-13T10:54:00Z</dcterms:modified>
</cp:coreProperties>
</file>